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5" w:rsidRDefault="005D7125" w:rsidP="00192C24">
      <w:pPr>
        <w:rPr>
          <w:rFonts w:ascii="Gill Sans MT" w:hAnsi="Gill Sans MT"/>
          <w:b/>
          <w:sz w:val="24"/>
        </w:rPr>
      </w:pPr>
      <w:r w:rsidRPr="005D7125">
        <w:rPr>
          <w:rFonts w:ascii="Gill Sans MT" w:hAnsi="Gill Sans MT"/>
          <w:b/>
          <w:sz w:val="24"/>
        </w:rPr>
        <w:t xml:space="preserve">SYSTÈME DE CONTRÔLE INTERNE DE L’ORGANISATION </w:t>
      </w:r>
      <w:r w:rsidR="00881D95">
        <w:rPr>
          <w:rFonts w:ascii="Gill Sans MT" w:hAnsi="Gill Sans MT"/>
          <w:b/>
          <w:sz w:val="24"/>
        </w:rPr>
        <w:t>XXX</w:t>
      </w:r>
    </w:p>
    <w:p w:rsidR="00192C24" w:rsidRPr="00881D95" w:rsidRDefault="00881D95" w:rsidP="00192C24">
      <w:pPr>
        <w:rPr>
          <w:rFonts w:ascii="Gill Sans MT" w:hAnsi="Gill Sans MT"/>
          <w:i/>
          <w:sz w:val="24"/>
        </w:rPr>
      </w:pPr>
      <w:r w:rsidRPr="00881D95">
        <w:rPr>
          <w:rFonts w:ascii="Gill Sans MT" w:hAnsi="Gill Sans MT"/>
          <w:i/>
          <w:sz w:val="24"/>
        </w:rPr>
        <w:t xml:space="preserve">EXEMPLE DE </w:t>
      </w:r>
      <w:r w:rsidR="005D7125" w:rsidRPr="00881D95">
        <w:rPr>
          <w:rFonts w:ascii="Gill Sans MT" w:hAnsi="Gill Sans MT"/>
          <w:i/>
          <w:sz w:val="24"/>
        </w:rPr>
        <w:t>STRUCTURE</w:t>
      </w:r>
      <w:bookmarkStart w:id="0" w:name="_GoBack"/>
      <w:bookmarkEnd w:id="0"/>
    </w:p>
    <w:p w:rsidR="005D7125" w:rsidRPr="005D7125" w:rsidRDefault="00D72286" w:rsidP="00D72286">
      <w:pPr>
        <w:pStyle w:val="Titre1"/>
      </w:pPr>
      <w:r>
        <w:t>Système de contrôle interne</w:t>
      </w:r>
    </w:p>
    <w:p w:rsidR="005D7125" w:rsidRDefault="000E617B" w:rsidP="00D72286">
      <w:pPr>
        <w:pStyle w:val="Titre2"/>
      </w:pPr>
      <w:r>
        <w:t>Introduction</w:t>
      </w:r>
    </w:p>
    <w:p w:rsidR="00EA4518" w:rsidRPr="00AA6CDC" w:rsidRDefault="00EA4518" w:rsidP="00AA6CDC">
      <w:pPr>
        <w:pStyle w:val="Titre3"/>
        <w:numPr>
          <w:ilvl w:val="1"/>
          <w:numId w:val="3"/>
        </w:numPr>
      </w:pPr>
      <w:r w:rsidRPr="00AA6CDC">
        <w:t>Présentation du SCI et de son rôle</w:t>
      </w:r>
    </w:p>
    <w:p w:rsidR="00EA4518" w:rsidRPr="00AA6CDC" w:rsidRDefault="00EA4518" w:rsidP="00AA6CDC">
      <w:pPr>
        <w:pStyle w:val="Titre3"/>
        <w:numPr>
          <w:ilvl w:val="1"/>
          <w:numId w:val="3"/>
        </w:numPr>
      </w:pPr>
      <w:r w:rsidRPr="00AA6CDC">
        <w:t>Documents de référence de l’organisation</w:t>
      </w:r>
    </w:p>
    <w:p w:rsidR="000E617B" w:rsidRDefault="000E617B" w:rsidP="00D72286">
      <w:pPr>
        <w:pStyle w:val="Titre2"/>
      </w:pPr>
      <w:r>
        <w:t>Structure de l’organisation</w:t>
      </w:r>
    </w:p>
    <w:p w:rsidR="00EA4518" w:rsidRDefault="00EA4518" w:rsidP="00AA6CDC">
      <w:pPr>
        <w:pStyle w:val="Titre3"/>
        <w:numPr>
          <w:ilvl w:val="1"/>
          <w:numId w:val="3"/>
        </w:numPr>
      </w:pPr>
      <w:r>
        <w:t>Séparation des pouvoirs</w:t>
      </w:r>
    </w:p>
    <w:p w:rsidR="00EA4518" w:rsidRDefault="00EA4518" w:rsidP="00AA6CDC">
      <w:pPr>
        <w:pStyle w:val="Titre3"/>
        <w:numPr>
          <w:ilvl w:val="1"/>
          <w:numId w:val="3"/>
        </w:numPr>
      </w:pPr>
      <w:r>
        <w:t>Instances décisionnaires</w:t>
      </w:r>
    </w:p>
    <w:p w:rsidR="00EA4518" w:rsidRDefault="00EA4518" w:rsidP="00AA6CDC">
      <w:pPr>
        <w:pStyle w:val="Titre3"/>
        <w:numPr>
          <w:ilvl w:val="1"/>
          <w:numId w:val="3"/>
        </w:numPr>
      </w:pPr>
      <w:r>
        <w:t>Instances de préavis</w:t>
      </w:r>
    </w:p>
    <w:p w:rsidR="00EA4518" w:rsidRDefault="00EA4518" w:rsidP="00AA6CDC">
      <w:pPr>
        <w:pStyle w:val="Titre3"/>
        <w:numPr>
          <w:ilvl w:val="1"/>
          <w:numId w:val="3"/>
        </w:numPr>
      </w:pPr>
      <w:r>
        <w:t>Instances d’exécution et de gestion</w:t>
      </w:r>
    </w:p>
    <w:p w:rsidR="00EA4518" w:rsidRDefault="00EA4518" w:rsidP="00AA6CDC">
      <w:pPr>
        <w:pStyle w:val="Titre3"/>
        <w:numPr>
          <w:ilvl w:val="1"/>
          <w:numId w:val="3"/>
        </w:numPr>
      </w:pPr>
      <w:r>
        <w:t>Eligibilité</w:t>
      </w:r>
    </w:p>
    <w:p w:rsidR="00EA4518" w:rsidRPr="00EA4518" w:rsidRDefault="00EA4518" w:rsidP="00AA6CDC">
      <w:pPr>
        <w:pStyle w:val="Titre3"/>
        <w:numPr>
          <w:ilvl w:val="1"/>
          <w:numId w:val="3"/>
        </w:numPr>
      </w:pPr>
      <w:r>
        <w:t>Règlements et procédures</w:t>
      </w:r>
    </w:p>
    <w:p w:rsidR="000E617B" w:rsidRDefault="000E617B" w:rsidP="00D72286">
      <w:pPr>
        <w:pStyle w:val="Titre2"/>
      </w:pPr>
      <w:r>
        <w:t>Risques découlant de conflits d’intérêt</w:t>
      </w:r>
    </w:p>
    <w:p w:rsidR="000E617B" w:rsidRDefault="000E617B" w:rsidP="00D72286">
      <w:pPr>
        <w:pStyle w:val="Titre2"/>
      </w:pPr>
      <w:r>
        <w:t>Comptes en banque, flux financier, capital</w:t>
      </w:r>
    </w:p>
    <w:p w:rsidR="002D17D0" w:rsidRDefault="002D17D0" w:rsidP="00AA6CDC">
      <w:pPr>
        <w:pStyle w:val="Titre3"/>
        <w:numPr>
          <w:ilvl w:val="1"/>
          <w:numId w:val="3"/>
        </w:numPr>
      </w:pPr>
      <w:r>
        <w:t>Comptes</w:t>
      </w:r>
    </w:p>
    <w:p w:rsidR="002D17D0" w:rsidRDefault="002D17D0" w:rsidP="00AA6CDC">
      <w:pPr>
        <w:pStyle w:val="Titre3"/>
        <w:numPr>
          <w:ilvl w:val="1"/>
          <w:numId w:val="3"/>
        </w:numPr>
      </w:pPr>
      <w:r>
        <w:t>Caisse</w:t>
      </w:r>
    </w:p>
    <w:p w:rsidR="002D17D0" w:rsidRPr="002D17D0" w:rsidRDefault="002D17D0" w:rsidP="00AA6CDC">
      <w:pPr>
        <w:pStyle w:val="Titre3"/>
        <w:numPr>
          <w:ilvl w:val="1"/>
          <w:numId w:val="3"/>
        </w:numPr>
      </w:pPr>
      <w:r>
        <w:t>Capital, fonds et provision</w:t>
      </w:r>
    </w:p>
    <w:p w:rsidR="000E617B" w:rsidRDefault="000E617B" w:rsidP="00D72286">
      <w:pPr>
        <w:pStyle w:val="Titre2"/>
      </w:pPr>
      <w:r>
        <w:t>Contrats</w:t>
      </w:r>
    </w:p>
    <w:p w:rsidR="000E617B" w:rsidRDefault="000E617B" w:rsidP="00D72286">
      <w:pPr>
        <w:pStyle w:val="Titre2"/>
      </w:pPr>
      <w:r>
        <w:t>Sélection des projets des partenaires</w:t>
      </w:r>
    </w:p>
    <w:p w:rsidR="000E617B" w:rsidRDefault="000E617B" w:rsidP="00D72286">
      <w:pPr>
        <w:pStyle w:val="Titre2"/>
      </w:pPr>
      <w:r>
        <w:t>Personnel et bénévoles</w:t>
      </w:r>
    </w:p>
    <w:p w:rsidR="000E617B" w:rsidRDefault="000E617B" w:rsidP="00D72286">
      <w:pPr>
        <w:pStyle w:val="Titre2"/>
      </w:pPr>
      <w:r>
        <w:t>Circulation de l’information et transparence</w:t>
      </w:r>
    </w:p>
    <w:p w:rsidR="000E617B" w:rsidRDefault="000E617B" w:rsidP="00D72286">
      <w:pPr>
        <w:pStyle w:val="Titre2"/>
      </w:pPr>
      <w:r>
        <w:t>Répartition des fonds pour les projets</w:t>
      </w:r>
    </w:p>
    <w:p w:rsidR="000E617B" w:rsidRDefault="000E617B" w:rsidP="00D72286">
      <w:pPr>
        <w:pStyle w:val="Titre2"/>
      </w:pPr>
      <w:proofErr w:type="spellStart"/>
      <w:r>
        <w:t>Reporting</w:t>
      </w:r>
      <w:proofErr w:type="spellEnd"/>
      <w:r>
        <w:t xml:space="preserve"> des partenaires</w:t>
      </w:r>
    </w:p>
    <w:p w:rsidR="000E617B" w:rsidRDefault="000E617B" w:rsidP="00D72286">
      <w:pPr>
        <w:pStyle w:val="Titre2"/>
      </w:pPr>
      <w:r>
        <w:t>Systèmes comptables</w:t>
      </w:r>
    </w:p>
    <w:p w:rsidR="000E617B" w:rsidRDefault="000E617B" w:rsidP="00D72286">
      <w:pPr>
        <w:pStyle w:val="Titre2"/>
      </w:pPr>
      <w:r>
        <w:t>Membres : admission et exclusion</w:t>
      </w:r>
    </w:p>
    <w:p w:rsidR="000E617B" w:rsidRDefault="000E617B" w:rsidP="00D72286">
      <w:pPr>
        <w:pStyle w:val="Titre2"/>
      </w:pPr>
      <w:r>
        <w:t>Budget et planification financière</w:t>
      </w:r>
    </w:p>
    <w:p w:rsidR="000E617B" w:rsidRDefault="000E617B" w:rsidP="00D72286">
      <w:pPr>
        <w:pStyle w:val="Titre2"/>
      </w:pPr>
      <w:r>
        <w:t>Sécurité informatique</w:t>
      </w:r>
    </w:p>
    <w:p w:rsidR="000E617B" w:rsidRDefault="000E617B" w:rsidP="000E617B">
      <w:pPr>
        <w:rPr>
          <w:rFonts w:ascii="Gill Sans MT" w:hAnsi="Gill Sans MT"/>
        </w:rPr>
      </w:pPr>
    </w:p>
    <w:p w:rsidR="00D72286" w:rsidRDefault="00D72286" w:rsidP="00D72286">
      <w:pPr>
        <w:pStyle w:val="Titre1"/>
      </w:pPr>
      <w:r>
        <w:t>Annexe 1 : gestion des risques</w:t>
      </w:r>
    </w:p>
    <w:p w:rsidR="00D72286" w:rsidRDefault="00F661E9" w:rsidP="0083479E">
      <w:pPr>
        <w:pStyle w:val="Titre2"/>
        <w:numPr>
          <w:ilvl w:val="0"/>
          <w:numId w:val="5"/>
        </w:numPr>
      </w:pPr>
      <w:r>
        <w:t>Risques contextuels</w:t>
      </w:r>
    </w:p>
    <w:p w:rsidR="00F661E9" w:rsidRDefault="00F661E9" w:rsidP="00F661E9">
      <w:pPr>
        <w:pStyle w:val="Titre2"/>
        <w:numPr>
          <w:ilvl w:val="0"/>
          <w:numId w:val="5"/>
        </w:numPr>
      </w:pPr>
      <w:r>
        <w:t>Risques organisationnels</w:t>
      </w:r>
    </w:p>
    <w:p w:rsidR="00F661E9" w:rsidRPr="00F661E9" w:rsidRDefault="00F661E9" w:rsidP="00F661E9">
      <w:pPr>
        <w:pStyle w:val="Titre2"/>
        <w:numPr>
          <w:ilvl w:val="0"/>
          <w:numId w:val="5"/>
        </w:numPr>
      </w:pPr>
      <w:r>
        <w:t>Risques opérationnels</w:t>
      </w:r>
    </w:p>
    <w:sectPr w:rsidR="00F661E9" w:rsidRPr="00F6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CD3"/>
    <w:multiLevelType w:val="multilevel"/>
    <w:tmpl w:val="6F5A5094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22E56"/>
    <w:multiLevelType w:val="hybridMultilevel"/>
    <w:tmpl w:val="6A5257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656D"/>
    <w:multiLevelType w:val="hybridMultilevel"/>
    <w:tmpl w:val="7BB8E51E"/>
    <w:lvl w:ilvl="0" w:tplc="E320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D3DD9"/>
    <w:multiLevelType w:val="hybridMultilevel"/>
    <w:tmpl w:val="ED825C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0A2C"/>
    <w:multiLevelType w:val="hybridMultilevel"/>
    <w:tmpl w:val="EA86CB6C"/>
    <w:lvl w:ilvl="0" w:tplc="C3FC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2260"/>
    <w:multiLevelType w:val="hybridMultilevel"/>
    <w:tmpl w:val="F776FD1C"/>
    <w:lvl w:ilvl="0" w:tplc="4E0A3E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1"/>
    <w:rsid w:val="000E617B"/>
    <w:rsid w:val="00192C24"/>
    <w:rsid w:val="00256241"/>
    <w:rsid w:val="002D17D0"/>
    <w:rsid w:val="005D7125"/>
    <w:rsid w:val="0083479E"/>
    <w:rsid w:val="00881D95"/>
    <w:rsid w:val="0091279A"/>
    <w:rsid w:val="00AA6CDC"/>
    <w:rsid w:val="00D72286"/>
    <w:rsid w:val="00EA4518"/>
    <w:rsid w:val="00EF51D3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737A"/>
  <w15:chartTrackingRefBased/>
  <w15:docId w15:val="{78E611C6-63B9-4404-8594-AE38CA9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2C24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2286"/>
    <w:pPr>
      <w:keepNext/>
      <w:keepLines/>
      <w:numPr>
        <w:numId w:val="3"/>
      </w:numPr>
      <w:spacing w:before="40" w:after="0"/>
      <w:outlineLvl w:val="1"/>
    </w:pPr>
    <w:rPr>
      <w:rFonts w:ascii="Gill Sans MT" w:eastAsiaTheme="majorEastAsia" w:hAnsi="Gill Sans MT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E61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72286"/>
    <w:rPr>
      <w:rFonts w:ascii="Gill Sans MT" w:eastAsiaTheme="majorEastAsia" w:hAnsi="Gill Sans MT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A45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Léchot</dc:creator>
  <cp:keywords/>
  <dc:description/>
  <cp:lastModifiedBy>Morgan Léchot</cp:lastModifiedBy>
  <cp:revision>13</cp:revision>
  <dcterms:created xsi:type="dcterms:W3CDTF">2022-09-13T08:09:00Z</dcterms:created>
  <dcterms:modified xsi:type="dcterms:W3CDTF">2022-09-13T08:20:00Z</dcterms:modified>
</cp:coreProperties>
</file>